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การแจ้งก่อสร้างอาคารตามมาตรา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39ทวิ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เทศบาลตำบลรางหวาย โทรศัพท์ 034-682753-105/ติดต่อด้วยตนเอง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การแจ้งก่อสร้างอาคารตามมาตรา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                            พระราชบัญญัติควบคุมอาคาร พ.ศ.2522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การแจ้งก่อสร้างอาคารตามมาตรา 39 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